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</w:pPr>
      <w:r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  <w:t>长春大成生物科技开发有限公司二零一九年十、十一、十二月份大宗物资（</w:t>
      </w:r>
      <w:r>
        <w:rPr>
          <w:rFonts w:hint="eastAsia" w:ascii="楷体" w:hAnsi="楷体" w:eastAsia="楷体" w:cs="楷体"/>
          <w:b/>
          <w:sz w:val="44"/>
          <w:szCs w:val="44"/>
        </w:rPr>
        <w:t>普通编织袋</w:t>
      </w:r>
      <w:r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  <w:t>）采购</w:t>
      </w:r>
    </w:p>
    <w:p>
      <w:pPr>
        <w:wordWrap w:val="0"/>
        <w:spacing w:before="100" w:beforeAutospacing="1" w:after="100" w:afterAutospacing="1" w:line="360" w:lineRule="auto"/>
        <w:rPr>
          <w:rFonts w:ascii="楷体" w:hAnsi="楷体" w:eastAsia="楷体" w:cs="楷体"/>
          <w:b/>
          <w:bCs/>
          <w:sz w:val="40"/>
          <w:szCs w:val="40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default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>项目编号：XLYQ-2019-YJCG-</w:t>
      </w: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309</w:t>
      </w:r>
    </w:p>
    <w:p>
      <w:pPr>
        <w:wordWrap w:val="0"/>
        <w:spacing w:line="360" w:lineRule="auto"/>
        <w:rPr>
          <w:szCs w:val="21"/>
        </w:rPr>
      </w:pPr>
    </w:p>
    <w:p>
      <w:pPr>
        <w:wordWrap w:val="0"/>
        <w:spacing w:line="360" w:lineRule="auto"/>
        <w:ind w:firstLine="420" w:firstLineChars="200"/>
        <w:rPr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ascii="黑体" w:hAnsi="黑体" w:eastAsia="黑体" w:cs="黑体"/>
          <w:b/>
          <w:bCs/>
          <w:sz w:val="84"/>
          <w:szCs w:val="84"/>
        </w:rPr>
      </w:pPr>
      <w:r>
        <w:rPr>
          <w:rFonts w:hint="eastAsia" w:ascii="黑体" w:hAnsi="黑体" w:eastAsia="黑体" w:cs="黑体"/>
          <w:b/>
          <w:bCs/>
          <w:sz w:val="84"/>
          <w:szCs w:val="84"/>
        </w:rPr>
        <w:t>议价采购</w:t>
      </w:r>
    </w:p>
    <w:p>
      <w:pPr>
        <w:widowControl/>
        <w:wordWrap w:val="0"/>
        <w:spacing w:line="360" w:lineRule="auto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ordWrap w:val="0"/>
        <w:spacing w:before="100" w:beforeAutospacing="1" w:after="100" w:afterAutospacing="1" w:line="360" w:lineRule="auto"/>
        <w:ind w:firstLine="1205" w:firstLineChars="4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招   标   人：长春大成生物科技开发有限公司</w:t>
      </w:r>
    </w:p>
    <w:p>
      <w:pPr>
        <w:wordWrap w:val="0"/>
        <w:spacing w:before="100" w:beforeAutospacing="1" w:after="100" w:afterAutospacing="1" w:line="360" w:lineRule="auto"/>
        <w:jc w:val="center"/>
        <w:rPr>
          <w:rFonts w:ascii="宋体" w:hAnsi="宋体" w:cs="宋体"/>
          <w:b/>
          <w:szCs w:val="21"/>
        </w:rPr>
        <w:sectPr>
          <w:headerReference r:id="rId3" w:type="default"/>
          <w:headerReference r:id="rId4" w:type="even"/>
          <w:footerReference r:id="rId5" w:type="even"/>
          <w:pgSz w:w="11907" w:h="16840"/>
          <w:pgMar w:top="1417" w:right="1247" w:bottom="1417" w:left="1474" w:header="992" w:footer="850" w:gutter="170"/>
          <w:pgNumType w:start="0"/>
          <w:cols w:space="720" w:num="1"/>
          <w:titlePg/>
          <w:docGrid w:linePitch="312" w:charSpace="0"/>
        </w:sect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二零一九年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月</w:t>
      </w: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ind w:firstLine="643" w:firstLineChars="200"/>
        <w:textAlignment w:val="bottom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rPr>
          <w:b/>
          <w:bCs/>
          <w:sz w:val="32"/>
          <w:szCs w:val="32"/>
        </w:rPr>
      </w:pPr>
      <w:bookmarkStart w:id="0" w:name="_Toc359047734"/>
      <w:bookmarkStart w:id="1" w:name="_Toc14647"/>
      <w:bookmarkStart w:id="2" w:name="_Toc359047678"/>
      <w:bookmarkStart w:id="3" w:name="_Toc359047598"/>
      <w:r>
        <w:rPr>
          <w:rFonts w:hint="eastAsia"/>
          <w:b/>
          <w:bCs/>
          <w:sz w:val="32"/>
          <w:szCs w:val="32"/>
        </w:rPr>
        <w:t>1.议价采购条件</w:t>
      </w:r>
      <w:bookmarkEnd w:id="0"/>
      <w:bookmarkEnd w:id="1"/>
      <w:bookmarkEnd w:id="2"/>
      <w:bookmarkEnd w:id="3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普通编织袋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月份）采购项目已由有关部门批准实施，项目业主为长春大成生物科技开发有限公司，资金来自企业自筹。项目已具备议价采购条件，现对该项目进行议价采购。</w:t>
      </w:r>
    </w:p>
    <w:p>
      <w:pPr>
        <w:pStyle w:val="4"/>
      </w:pPr>
      <w:bookmarkStart w:id="4" w:name="_Toc359047679"/>
      <w:bookmarkStart w:id="5" w:name="_Toc13481"/>
      <w:bookmarkStart w:id="6" w:name="_Toc359047599"/>
      <w:bookmarkStart w:id="7" w:name="_Toc359047735"/>
      <w:r>
        <w:rPr>
          <w:rFonts w:hint="eastAsia"/>
        </w:rPr>
        <w:t>2.项目概况与内容</w:t>
      </w:r>
      <w:bookmarkEnd w:id="4"/>
      <w:bookmarkEnd w:id="5"/>
      <w:bookmarkEnd w:id="6"/>
      <w:bookmarkEnd w:id="7"/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2.1 项目名称：</w:t>
      </w: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普通编织袋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2.2 本项目招标内容为：</w:t>
      </w:r>
    </w:p>
    <w:tbl>
      <w:tblPr>
        <w:tblStyle w:val="16"/>
        <w:tblW w:w="8945" w:type="dxa"/>
        <w:jc w:val="center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21"/>
        <w:gridCol w:w="1339"/>
        <w:gridCol w:w="992"/>
        <w:gridCol w:w="9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序号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名称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供货期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交货地点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长春大成生物科技开发有限公司（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普通编织袋</w:t>
            </w:r>
            <w:r>
              <w:rPr>
                <w:rFonts w:hint="eastAsia" w:ascii="宋体" w:hAnsi="宋体" w:cs="宋体"/>
                <w:kern w:val="44"/>
                <w:szCs w:val="21"/>
              </w:rPr>
              <w:t>）采购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bCs/>
                <w:kern w:val="44"/>
                <w:szCs w:val="21"/>
              </w:rPr>
              <w:t>详见“技术标准和要求”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 w:cs="宋体"/>
                <w:kern w:val="4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44"/>
                <w:szCs w:val="21"/>
              </w:rPr>
              <w:t>详见“技术标准和要求”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/>
                <w:kern w:val="44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kern w:val="44"/>
                <w:szCs w:val="21"/>
              </w:rPr>
              <w:t>个月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rPr>
                <w:rFonts w:hint="default" w:ascii="宋体" w:hAnsi="宋体" w:eastAsia="宋体" w:cs="宋体"/>
                <w:kern w:val="4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  <w:highlight w:val="none"/>
              </w:rPr>
              <w:t>长春市兴隆山镇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eastAsia="zh-CN"/>
              </w:rPr>
              <w:t>中山大街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val="en-US" w:eastAsia="zh-CN"/>
              </w:rPr>
              <w:t>1号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4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必须保证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买方的</w:t>
            </w:r>
            <w:r>
              <w:rPr>
                <w:rFonts w:hint="eastAsia" w:ascii="宋体" w:hAnsi="宋体" w:cs="宋体"/>
                <w:kern w:val="44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要求</w:t>
            </w:r>
          </w:p>
        </w:tc>
      </w:tr>
    </w:tbl>
    <w:p>
      <w:pPr>
        <w:wordWrap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包括但不局限于产品采购、运输及交货、验收。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2.3 交货期：根据招标人具体要求确定。</w:t>
      </w:r>
    </w:p>
    <w:p>
      <w:pPr>
        <w:pStyle w:val="4"/>
      </w:pPr>
      <w:bookmarkStart w:id="8" w:name="_Toc359047600"/>
      <w:bookmarkStart w:id="9" w:name="_Toc359047736"/>
      <w:bookmarkStart w:id="10" w:name="_Toc25475"/>
      <w:bookmarkStart w:id="11" w:name="_Toc359047680"/>
      <w:r>
        <w:rPr>
          <w:rFonts w:hint="eastAsia"/>
        </w:rPr>
        <w:t>3.投标人资格要求</w:t>
      </w:r>
      <w:bookmarkEnd w:id="8"/>
      <w:bookmarkEnd w:id="9"/>
      <w:bookmarkEnd w:id="10"/>
      <w:bookmarkEnd w:id="11"/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（1）投标人须具有合法的经营许可证，注册资金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5</w:t>
      </w:r>
      <w:r>
        <w:rPr>
          <w:rFonts w:hint="eastAsia" w:ascii="宋体" w:hAnsi="宋体"/>
          <w:bCs/>
          <w:kern w:val="44"/>
          <w:szCs w:val="21"/>
        </w:rPr>
        <w:t>00万元及以上；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（2） 必须具备储存库（同时储备相应的数量）及相应的运输能力，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（3）必须具有良好的经营情况、健全的财务制度；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（4） 投标人和招标人无诉讼纠纷；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（5）</w:t>
      </w:r>
      <w:r>
        <w:rPr>
          <w:rFonts w:ascii="宋体" w:hAnsi="宋体"/>
          <w:bCs/>
          <w:kern w:val="44"/>
          <w:szCs w:val="21"/>
        </w:rPr>
        <w:t>拒绝被政府取消投标资格期间的企业或个人投标</w:t>
      </w:r>
    </w:p>
    <w:p>
      <w:pPr>
        <w:pStyle w:val="4"/>
      </w:pPr>
      <w:bookmarkStart w:id="12" w:name="_Toc18662"/>
      <w:bookmarkStart w:id="13" w:name="_Toc359047682"/>
      <w:bookmarkStart w:id="14" w:name="_Toc359047738"/>
      <w:bookmarkStart w:id="15" w:name="_Toc359047602"/>
      <w:r>
        <w:rPr>
          <w:rFonts w:hint="eastAsia"/>
        </w:rPr>
        <w:t>4.投标文件的递交</w:t>
      </w:r>
      <w:bookmarkEnd w:id="12"/>
      <w:bookmarkEnd w:id="13"/>
      <w:bookmarkEnd w:id="14"/>
      <w:bookmarkEnd w:id="15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 xml:space="preserve">4.1 </w:t>
      </w:r>
      <w:r>
        <w:rPr>
          <w:rFonts w:hint="eastAsia" w:ascii="宋体" w:hAnsi="宋体" w:cs="宋体"/>
          <w:szCs w:val="21"/>
        </w:rPr>
        <w:t xml:space="preserve">应答文件递交的截止时间：2019年 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日9时（北京时间）逾期不予受理。</w:t>
      </w:r>
      <w:r>
        <w:rPr>
          <w:rFonts w:hint="eastAsia" w:ascii="宋体" w:hAnsi="宋体"/>
          <w:bCs/>
          <w:kern w:val="44"/>
          <w:szCs w:val="21"/>
        </w:rPr>
        <w:t>递交地点为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4.2 逾期送达的或者未送达指定地点的投标文件，招标人不予受理。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4.3 定于</w:t>
      </w:r>
      <w:r>
        <w:rPr>
          <w:rFonts w:hint="eastAsia" w:ascii="宋体" w:hAnsi="宋体"/>
          <w:bCs/>
          <w:kern w:val="44"/>
          <w:szCs w:val="21"/>
          <w:u w:val="single"/>
        </w:rPr>
        <w:t>2019年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  <w:u w:val="single"/>
        </w:rPr>
        <w:t>月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  <w:u w:val="single"/>
        </w:rPr>
        <w:t>日9时</w:t>
      </w:r>
      <w:r>
        <w:rPr>
          <w:rFonts w:hint="eastAsia" w:ascii="宋体" w:hAnsi="宋体"/>
          <w:bCs/>
          <w:kern w:val="44"/>
          <w:szCs w:val="21"/>
        </w:rPr>
        <w:t>，在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开标。届时投标人应派代表出席开标仪式。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4.4 本次将以议价谈判的形式组织进行。</w:t>
      </w:r>
    </w:p>
    <w:p>
      <w:pPr>
        <w:pStyle w:val="4"/>
        <w:adjustRightInd/>
        <w:spacing w:before="0" w:after="0" w:line="360" w:lineRule="auto"/>
        <w:jc w:val="left"/>
        <w:textAlignment w:val="auto"/>
      </w:pPr>
      <w:bookmarkStart w:id="16" w:name="_Toc359047604"/>
      <w:bookmarkStart w:id="17" w:name="_Toc30311"/>
      <w:bookmarkStart w:id="18" w:name="_Toc359047684"/>
      <w:bookmarkStart w:id="19" w:name="_Toc359047740"/>
      <w:r>
        <w:rPr>
          <w:rFonts w:hint="eastAsia"/>
        </w:rPr>
        <w:t>5联系方式</w:t>
      </w:r>
      <w:bookmarkEnd w:id="16"/>
      <w:bookmarkEnd w:id="17"/>
      <w:bookmarkEnd w:id="18"/>
      <w:bookmarkEnd w:id="19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招 标 人：长春大成生物科技开发有限公司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地    址：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联 系 人：王先生     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电    话： 13756345475    </w:t>
      </w: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※参标人必须携带的文件如下：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营业执照，食品生产许可证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（带附件的）、</w:t>
      </w:r>
      <w:r>
        <w:rPr>
          <w:rFonts w:hint="eastAsia" w:ascii="宋体" w:hAnsi="宋体" w:cs="宋体"/>
          <w:b/>
          <w:bCs/>
          <w:sz w:val="28"/>
          <w:szCs w:val="28"/>
        </w:rPr>
        <w:t>食品安全体系证书，质量管理体系，环境管理体系 外检报告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（理化指标、食品安全指标）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开户许可证  印刷经营许可证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b/>
          <w:bCs/>
          <w:sz w:val="28"/>
          <w:szCs w:val="28"/>
        </w:rPr>
        <w:t>一式三份加盖公章的。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如不是本人参会，必须有企业法人授权委托书加盖公章的。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报价单原件加盖公章的。</w:t>
      </w: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480" w:firstLineChars="200"/>
        <w:textAlignment w:val="bottom"/>
        <w:rPr>
          <w:rFonts w:hint="eastAsia" w:ascii="宋体" w:hAnsi="宋体" w:cs="宋体"/>
          <w:color w:val="00B050"/>
          <w:szCs w:val="21"/>
          <w:highlight w:val="none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b/>
          <w:szCs w:val="21"/>
          <w:highlight w:val="none"/>
        </w:rPr>
        <w:t>投标方提供样品袋，可以为无印刷样品袋，</w:t>
      </w:r>
      <w:r>
        <w:rPr>
          <w:rFonts w:hint="eastAsia" w:ascii="宋体" w:hAnsi="宋体" w:cs="宋体"/>
          <w:b/>
          <w:color w:val="FF0000"/>
          <w:szCs w:val="21"/>
          <w:highlight w:val="none"/>
        </w:rPr>
        <w:t>如投标方无法提供样袋，招标方有权拒绝该投标方的报价或取消投标方的投标资格。</w:t>
      </w:r>
      <w:r>
        <w:rPr>
          <w:rFonts w:hint="eastAsia" w:ascii="宋体" w:hAnsi="宋体" w:cs="宋体"/>
          <w:b/>
          <w:color w:val="00B050"/>
          <w:szCs w:val="21"/>
          <w:highlight w:val="none"/>
        </w:rPr>
        <w:t>要求四种包装袋必须全部报价，不允许选择性报价。</w:t>
      </w:r>
    </w:p>
    <w:p>
      <w:pPr>
        <w:wordWrap w:val="0"/>
        <w:autoSpaceDE w:val="0"/>
        <w:autoSpaceDN w:val="0"/>
        <w:adjustRightInd w:val="0"/>
        <w:spacing w:line="360" w:lineRule="auto"/>
        <w:ind w:firstLine="422" w:firstLineChars="200"/>
        <w:rPr>
          <w:rFonts w:hint="eastAsia"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注：开标时投标方必须提供样品袋（每个品种至少10条以上），可以为无印刷样品袋，现场经评委会检测外观质量是否符合招标人要求，不符合招标方要求的厂商投标将拒绝，样袋符合招标方要求的厂商的样袋将根据质量进行排名。</w:t>
      </w: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br w:type="page"/>
      </w:r>
    </w:p>
    <w:p>
      <w:pPr>
        <w:pStyle w:val="2"/>
        <w:ind w:left="2115"/>
        <w:jc w:val="both"/>
        <w:rPr>
          <w:rFonts w:hint="eastAsia" w:ascii="宋体" w:hAnsi="宋体" w:cs="宋体"/>
          <w:szCs w:val="21"/>
        </w:rPr>
      </w:pPr>
      <w:bookmarkStart w:id="20" w:name="_Toc453056145"/>
      <w:bookmarkStart w:id="21" w:name="_Hlk35572267"/>
      <w:bookmarkStart w:id="22" w:name="_Hlk35572269"/>
      <w:bookmarkStart w:id="23" w:name="_Hlk35572268"/>
      <w:r>
        <w:rPr>
          <w:rFonts w:hint="eastAsia"/>
        </w:rPr>
        <w:t>货物需求及技术规格</w:t>
      </w:r>
      <w:bookmarkEnd w:id="20"/>
    </w:p>
    <w:p>
      <w:pPr>
        <w:wordWrap w:val="0"/>
        <w:spacing w:before="100" w:beforeAutospacing="1" w:after="100" w:afterAutospacing="1"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长春大成生物科技开发有限公司大宗物资（普通编织袋）采购</w:t>
      </w:r>
    </w:p>
    <w:tbl>
      <w:tblPr>
        <w:tblStyle w:val="16"/>
        <w:tblW w:w="11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25"/>
        <w:gridCol w:w="4635"/>
        <w:gridCol w:w="1116"/>
        <w:gridCol w:w="1896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材料名称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规格型号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预计采购数量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要求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双面印刷食品级淀粉袋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袋聚丙烯：长1080±10mm，宽570mm±10mm,重量95g±5g；内膜聚乙烯:1280×590mm±10mm，重量29g±5g；横向和纵向拉力≥650N，总重量124g±10g；所有长度均以有效长度进行检测，其中：有效长度为：底部匝线与袋口顶部热合下线之间的距离。没标注的部分以GB/T8946-2013为准（取消袋子上沿窝口缝边）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无标签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00000条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防水布标签；袋子颜色统一；袋皮表面现在太光滑，产品码垛后叉运时容易堆盘造成外观脏污或水浸损失，需要增大袋表面摩擦。</w:t>
            </w:r>
          </w:p>
          <w:p>
            <w:pPr>
              <w:wordWrap w:val="0"/>
              <w:spacing w:line="360" w:lineRule="exact"/>
              <w:ind w:firstLine="403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、两家同时供货，在招标得分前两名中选择供应商，单价排名最低的，按其投标价格及确定量授标（供货量不低于总量的70%）；单价排名第二低的，按其投标价格及授标量扣除已授排名第一标量授标；不排除全部由最低的中标人全部供货的可能；不承诺最低价中标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长春大成生物技术开发有限公司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双面印刷喷浆玉米皮包装袋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外袋聚丙烯： 1010×610mm(-10mm.+20mm),重量96g±5g；内膜聚乙烯: 1120×630mm(-10mm.+20mm)，重量21g±5g；横向和纵向拉力≥480N，总重量117g±10g；8×9防水布标签；标签位置固定在袋子底部中间，不能歪斜。所有长度均以有效长度进行检测，其中：有效长度为：底部匝线与袋口顶部热合下线之间的距离</w:t>
            </w:r>
            <w:bookmarkStart w:id="26" w:name="_GoBack"/>
            <w:bookmarkEnd w:id="26"/>
            <w:r>
              <w:rPr>
                <w:rFonts w:hint="eastAsia" w:ascii="宋体" w:hAnsi="宋体" w:cs="宋体"/>
                <w:b/>
                <w:bCs/>
                <w:szCs w:val="21"/>
              </w:rPr>
              <w:t>。没标注的部分以GB/T8946-2013为准，袋身双面印刷。(取消袋子上沿窝口)。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0000条</w:t>
            </w: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长春大成生物技术开发有限公司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双面印刷胚芽粕袋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普外袋聚丙烯：1080×660mm(-10mm.+20mm)；重量110g±10g；                                                                              横向和纵向拉力≥480N；8×9防水布标签；标签位置固定在袋子底部中间，不能歪斜。所有长度均以有效长度进行检测。没标注的部分以GB/T8946-2013为准，袋身双面印刷。（取消袋子上沿窝口缝边）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400000条</w:t>
            </w: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长春大成生物技术开发有限公司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双面印刷蛋白粉袋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外袋聚丙烯：610×970mm(-10mm.+20mm)；重量94g±5g；  内膜聚乙烯: 630×1080mm(-10mm.+20mm)；重量26g±5g；横向和纵向拉力≥480N    总重量120g±10g；8×9防水布标签； (外袋与内膜上口一起圈折压合)标签位置固定在袋子底部中间，不能歪斜。所有长度均以有效长度进行检测，其中：有效长度为：底部匝线与袋口顶部热合下线之间的距离。没标注的部分以GB/T8946-2013为准，袋身双面印刷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0000条</w:t>
            </w: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长春大成生物技术开发有限公司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1、中标家数最多</w:t>
      </w:r>
      <w:r>
        <w:rPr>
          <w:rFonts w:hint="eastAsia" w:ascii="宋体" w:hAnsi="宋体" w:cs="宋体"/>
          <w:szCs w:val="21"/>
          <w:lang w:eastAsia="zh-CN"/>
        </w:rPr>
        <w:t>两</w:t>
      </w:r>
      <w:r>
        <w:rPr>
          <w:rFonts w:hint="eastAsia" w:ascii="宋体" w:hAnsi="宋体" w:cs="宋体"/>
          <w:szCs w:val="21"/>
        </w:rPr>
        <w:t>家，不排除一家中标的可能。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hint="eastAsia" w:ascii="宋体" w:hAnsi="宋体" w:cs="宋体"/>
          <w:szCs w:val="21"/>
        </w:rPr>
        <w:t>检测结果以招标方验收结果为准。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投标人实际到货的产品质量必须符合招标人使用要求，如招标人在实际使用过程中出现不能满足使用要求的情况，投标人有义务及时进行到货质量调整，如因产品质量造成连续3次退货，招标人有权终止当期采购合同及长期合作关系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</w:t>
      </w:r>
      <w:r>
        <w:rPr>
          <w:rFonts w:ascii="宋体" w:hAnsi="宋体" w:cs="宋体"/>
          <w:kern w:val="0"/>
          <w:szCs w:val="21"/>
        </w:rPr>
        <w:t>本次采购数量为</w:t>
      </w:r>
      <w:r>
        <w:rPr>
          <w:rFonts w:hint="eastAsia" w:ascii="宋体" w:hAnsi="宋体" w:cs="宋体"/>
          <w:kern w:val="0"/>
          <w:szCs w:val="21"/>
          <w:lang w:eastAsia="zh-CN"/>
        </w:rPr>
        <w:t>季</w:t>
      </w:r>
      <w:r>
        <w:rPr>
          <w:rFonts w:hint="eastAsia" w:ascii="宋体" w:hAnsi="宋体" w:cs="宋体"/>
          <w:kern w:val="0"/>
          <w:szCs w:val="21"/>
        </w:rPr>
        <w:t>度</w:t>
      </w:r>
      <w:r>
        <w:rPr>
          <w:rFonts w:ascii="宋体" w:hAnsi="宋体" w:cs="宋体"/>
          <w:kern w:val="0"/>
          <w:szCs w:val="21"/>
        </w:rPr>
        <w:t>计划</w:t>
      </w:r>
      <w:r>
        <w:rPr>
          <w:rFonts w:hint="eastAsia" w:ascii="宋体" w:hAnsi="宋体" w:cs="宋体"/>
          <w:kern w:val="0"/>
          <w:szCs w:val="21"/>
        </w:rPr>
        <w:t>采购</w:t>
      </w:r>
      <w:r>
        <w:rPr>
          <w:rFonts w:ascii="宋体" w:hAnsi="宋体" w:cs="宋体"/>
          <w:kern w:val="0"/>
          <w:szCs w:val="21"/>
        </w:rPr>
        <w:t>数量，采购人不承诺本次采购数量全部发生。实际供货量以招标人的需求为准。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6、取样方式：以招标人的取样流程为准。</w:t>
      </w:r>
    </w:p>
    <w:p>
      <w:pPr>
        <w:wordWrap w:val="0"/>
        <w:spacing w:line="360" w:lineRule="auto"/>
        <w:rPr>
          <w:b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7、原则上</w:t>
      </w:r>
      <w:r>
        <w:rPr>
          <w:rFonts w:hint="eastAsia"/>
          <w:b/>
          <w:szCs w:val="21"/>
        </w:rPr>
        <w:t>采取低价中标法，</w:t>
      </w:r>
      <w:r>
        <w:rPr>
          <w:rFonts w:hint="eastAsia" w:ascii="宋体" w:hAnsi="宋体" w:cs="宋体"/>
          <w:b/>
          <w:bCs/>
          <w:szCs w:val="21"/>
        </w:rPr>
        <w:t>不承诺最低价中标</w:t>
      </w:r>
      <w:r>
        <w:rPr>
          <w:rFonts w:hint="eastAsia" w:ascii="宋体" w:hAnsi="宋体" w:cs="宋体"/>
          <w:b/>
          <w:bCs/>
          <w:szCs w:val="21"/>
          <w:lang w:eastAsia="zh-CN"/>
        </w:rPr>
        <w:t>，</w:t>
      </w:r>
      <w:r>
        <w:rPr>
          <w:rFonts w:hint="eastAsia"/>
          <w:b/>
          <w:szCs w:val="21"/>
        </w:rPr>
        <w:t>根据投标人的供应能力、储存能力、</w:t>
      </w:r>
      <w:r>
        <w:rPr>
          <w:rFonts w:hint="eastAsia"/>
          <w:b/>
          <w:szCs w:val="21"/>
          <w:lang w:eastAsia="zh-CN"/>
        </w:rPr>
        <w:t>生产</w:t>
      </w:r>
      <w:r>
        <w:rPr>
          <w:rFonts w:hint="eastAsia"/>
          <w:b/>
          <w:szCs w:val="21"/>
        </w:rPr>
        <w:t>能力等综合考量，如投标人提供的付款方式优于招标方要求的付款方式，招标人将根据同等条件选用付款方式更优的投标人为中标人。</w:t>
      </w:r>
    </w:p>
    <w:p>
      <w:pPr>
        <w:wordWrap w:val="0"/>
        <w:spacing w:line="360" w:lineRule="auto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hint="eastAsia"/>
          <w:b/>
          <w:szCs w:val="21"/>
          <w:lang w:val="en-US" w:eastAsia="zh-CN"/>
        </w:rPr>
        <w:t>8、付款</w:t>
      </w:r>
      <w:r>
        <w:rPr>
          <w:rFonts w:hint="eastAsia"/>
          <w:b/>
          <w:bCs w:val="0"/>
          <w:szCs w:val="21"/>
          <w:lang w:val="en-US" w:eastAsia="zh-CN"/>
        </w:rPr>
        <w:t>方式：</w:t>
      </w:r>
      <w:r>
        <w:rPr>
          <w:rFonts w:hint="eastAsia" w:ascii="宋体" w:hAnsi="宋体" w:cs="宋体"/>
          <w:b/>
          <w:bCs w:val="0"/>
          <w:color w:val="000000"/>
          <w:szCs w:val="21"/>
        </w:rPr>
        <w:t>原则上货到、发票到30日付款，最终按双方谈判结果确定</w:t>
      </w:r>
      <w:r>
        <w:rPr>
          <w:rFonts w:hint="eastAsia" w:ascii="宋体" w:hAnsi="宋体" w:cs="宋体"/>
          <w:b/>
          <w:bCs w:val="0"/>
          <w:color w:val="000000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双面印刷食品级淀粉袋</w:t>
      </w:r>
      <w:r>
        <w:rPr>
          <w:rFonts w:hint="eastAsia" w:ascii="宋体" w:hAnsi="宋体"/>
          <w:b/>
          <w:bCs/>
          <w:color w:val="FF0000"/>
          <w:szCs w:val="21"/>
          <w:highlight w:val="yellow"/>
        </w:rPr>
        <w:t>必须保证是全新料生产，如证实有添加再生料，招标人有权扣除全部保证金；如因供货方产品质量给招标人造成损失，供货方无条件承担全部责任，赔偿由此造成的直接和间接经济损失。</w:t>
      </w:r>
    </w:p>
    <w:p>
      <w:pPr>
        <w:pStyle w:val="2"/>
        <w:jc w:val="both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1"/>
          <w:szCs w:val="21"/>
        </w:rPr>
        <w:t>、以上数量均为招标预估数量，由于招标人实际生产存在调整，具体合同数量以实际采购计划为准，如已经签订完毕的买卖合同出现数量不能达到生产使用需求，招标人将依据招标结果并根据招标人每月的《生产采购计划》增补采购合同数量。</w:t>
      </w:r>
      <w:r>
        <w:br w:type="page"/>
      </w: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bookmarkEnd w:id="21"/>
    <w:bookmarkEnd w:id="22"/>
    <w:bookmarkEnd w:id="23"/>
    <w:p>
      <w:pPr>
        <w:pStyle w:val="3"/>
        <w:spacing w:before="120" w:after="120"/>
      </w:pPr>
      <w:bookmarkStart w:id="24" w:name="_Toc13188"/>
      <w:r>
        <w:rPr>
          <w:rFonts w:hint="eastAsia"/>
        </w:rPr>
        <w:t xml:space="preserve"> 谈判一览表格式</w:t>
      </w:r>
      <w:bookmarkEnd w:id="24"/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项目名称及包号：</w:t>
      </w:r>
      <w:r>
        <w:rPr>
          <w:rFonts w:hint="eastAsia" w:ascii="宋体" w:hAnsi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Cs w:val="21"/>
        </w:rPr>
        <w:t xml:space="preserve">   项目编号：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应答人名称（公章）：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</w:p>
    <w:tbl>
      <w:tblPr>
        <w:tblStyle w:val="16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51"/>
        <w:gridCol w:w="1938"/>
        <w:gridCol w:w="1110"/>
        <w:gridCol w:w="900"/>
        <w:gridCol w:w="1110"/>
        <w:gridCol w:w="120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到货地点</w:t>
            </w: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硫含量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投标报价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（元/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条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交货期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根据上面的各品种，你们自己制定表格报价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货到发票到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0日内付款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合同签订后（     ）日内到货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送货上门，要求一票到货价格</w:t>
            </w:r>
          </w:p>
        </w:tc>
      </w:tr>
    </w:tbl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投标货币为人民币；以单价计算；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全额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13%增值税专用发票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color w:val="FF0000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/>
    <w:p/>
    <w:p>
      <w:pPr>
        <w:rPr>
          <w:rFonts w:ascii="宋体" w:hAnsi="宋体" w:cs="宋体"/>
          <w:b/>
          <w:szCs w:val="21"/>
        </w:rPr>
      </w:pPr>
      <w:r>
        <w:br w:type="page"/>
      </w:r>
    </w:p>
    <w:p/>
    <w:p>
      <w:pPr>
        <w:pStyle w:val="3"/>
        <w:spacing w:before="120" w:after="120"/>
      </w:pPr>
      <w:bookmarkStart w:id="25" w:name="_Toc5247"/>
      <w:r>
        <w:rPr>
          <w:rFonts w:hint="eastAsia"/>
        </w:rPr>
        <w:t xml:space="preserve"> 法人代表授权书格式</w:t>
      </w:r>
      <w:bookmarkEnd w:id="25"/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本授权书声明：注册于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公司的在下面签字的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（法人代表姓名、职务）代表本公司授权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（单位）的在下面签字的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（被授权人的姓名、职务）为本公司的合法代理人，就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>项目的合同投标及合同的执行、完成和保修，以本公司名义处理一切与之有关的事务。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本授权书于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 xml:space="preserve">日签字生效，特此声明。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法人代表签字盖章：</w:t>
      </w:r>
      <w:r>
        <w:rPr>
          <w:rFonts w:hint="eastAsia" w:ascii="宋体" w:hAnsi="宋体" w:cs="宋体"/>
          <w:szCs w:val="21"/>
          <w:u w:val="single"/>
        </w:rPr>
        <w:t xml:space="preserve">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被授权人签字：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见证人签字：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职务：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单位名称： 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附盖章的被授权人盖章的身份证复</w:t>
      </w: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jc w:val="both"/>
        <w:rPr>
          <w:rFonts w:ascii="宋体" w:hAnsi="宋体" w:cs="宋体"/>
          <w:szCs w:val="21"/>
        </w:rPr>
        <w:sectPr>
          <w:footerReference r:id="rId7" w:type="first"/>
          <w:footerReference r:id="rId6" w:type="default"/>
          <w:pgSz w:w="11907" w:h="16840"/>
          <w:pgMar w:top="1417" w:right="1247" w:bottom="1417" w:left="1474" w:header="992" w:footer="850" w:gutter="170"/>
          <w:pgNumType w:start="36"/>
          <w:cols w:space="720" w:num="1"/>
          <w:titlePg/>
          <w:docGrid w:linePitch="312" w:charSpace="0"/>
        </w:sectPr>
      </w:pPr>
    </w:p>
    <w:p/>
    <w:sectPr>
      <w:pgSz w:w="11907" w:h="16840"/>
      <w:pgMar w:top="1417" w:right="1247" w:bottom="1417" w:left="1474" w:header="992" w:footer="850" w:gutter="17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03185"/>
    <w:multiLevelType w:val="singleLevel"/>
    <w:tmpl w:val="967031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E0D60F"/>
    <w:multiLevelType w:val="singleLevel"/>
    <w:tmpl w:val="56E0D6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110F9"/>
    <w:rsid w:val="00364DE3"/>
    <w:rsid w:val="0042387F"/>
    <w:rsid w:val="0081071E"/>
    <w:rsid w:val="00B458E3"/>
    <w:rsid w:val="0283237E"/>
    <w:rsid w:val="04E30F49"/>
    <w:rsid w:val="0D24027F"/>
    <w:rsid w:val="0D726E7B"/>
    <w:rsid w:val="10202D61"/>
    <w:rsid w:val="1333486D"/>
    <w:rsid w:val="14C72ACE"/>
    <w:rsid w:val="1C76415D"/>
    <w:rsid w:val="21377470"/>
    <w:rsid w:val="21382646"/>
    <w:rsid w:val="21BE6A90"/>
    <w:rsid w:val="2393316D"/>
    <w:rsid w:val="26AB5B09"/>
    <w:rsid w:val="2BA620A7"/>
    <w:rsid w:val="304D519C"/>
    <w:rsid w:val="338110EE"/>
    <w:rsid w:val="3758595B"/>
    <w:rsid w:val="40321C31"/>
    <w:rsid w:val="429C3571"/>
    <w:rsid w:val="46E110F9"/>
    <w:rsid w:val="4AB81A0C"/>
    <w:rsid w:val="4B40347C"/>
    <w:rsid w:val="4BA35F62"/>
    <w:rsid w:val="4D64593C"/>
    <w:rsid w:val="53AA1AD9"/>
    <w:rsid w:val="549362E3"/>
    <w:rsid w:val="587522AA"/>
    <w:rsid w:val="58A83518"/>
    <w:rsid w:val="6BD530EE"/>
    <w:rsid w:val="6D3F76CA"/>
    <w:rsid w:val="6E3325C8"/>
    <w:rsid w:val="73364DE6"/>
    <w:rsid w:val="7DA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ordWrap w:val="0"/>
      <w:spacing w:before="100" w:beforeAutospacing="1" w:after="100" w:afterAutospacing="1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ordWrap w:val="0"/>
      <w:adjustRightInd w:val="0"/>
      <w:spacing w:beforeLines="50" w:afterLines="50" w:line="360" w:lineRule="auto"/>
      <w:jc w:val="center"/>
      <w:textAlignment w:val="baseline"/>
      <w:outlineLvl w:val="1"/>
    </w:pPr>
    <w:rPr>
      <w:rFonts w:ascii="Arial" w:hAnsi="Arial"/>
      <w:b/>
      <w:kern w:val="0"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ody Text 3"/>
    <w:basedOn w:val="1"/>
    <w:qFormat/>
    <w:uiPriority w:val="0"/>
    <w:pPr>
      <w:jc w:val="center"/>
    </w:pPr>
    <w:rPr>
      <w:rFonts w:ascii="宋体" w:hAnsi="宋体"/>
      <w:b/>
      <w:bCs/>
      <w:color w:val="FF0000"/>
      <w:sz w:val="24"/>
      <w:szCs w:val="32"/>
    </w:rPr>
  </w:style>
  <w:style w:type="paragraph" w:styleId="7">
    <w:name w:val="Body Text Indent"/>
    <w:basedOn w:val="1"/>
    <w:qFormat/>
    <w:uiPriority w:val="0"/>
    <w:pPr>
      <w:ind w:left="567" w:leftChars="27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qFormat/>
    <w:uiPriority w:val="0"/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320"/>
        <w:tab w:val="right" w:pos="8640"/>
      </w:tabs>
      <w:adjustRightInd w:val="0"/>
      <w:spacing w:line="240" w:lineRule="atLeast"/>
      <w:jc w:val="left"/>
      <w:textAlignment w:val="baseline"/>
    </w:pPr>
    <w:rPr>
      <w:rFonts w:ascii="宋体"/>
      <w:kern w:val="0"/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3"/>
      </w:pBdr>
      <w:tabs>
        <w:tab w:val="center" w:pos="4153"/>
        <w:tab w:val="right" w:pos="8306"/>
      </w:tabs>
      <w:snapToGrid w:val="0"/>
      <w:ind w:firstLine="4560" w:firstLineChars="1900"/>
    </w:pPr>
    <w:rPr>
      <w:rFonts w:eastAsia="华文行楷"/>
      <w:sz w:val="24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annotation subject"/>
    <w:basedOn w:val="5"/>
    <w:next w:val="5"/>
    <w:link w:val="22"/>
    <w:uiPriority w:val="0"/>
    <w:rPr>
      <w:b/>
      <w:b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annotation reference"/>
    <w:basedOn w:val="17"/>
    <w:uiPriority w:val="0"/>
    <w:rPr>
      <w:sz w:val="21"/>
      <w:szCs w:val="21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批注文字 Char"/>
    <w:basedOn w:val="17"/>
    <w:link w:val="5"/>
    <w:uiPriority w:val="0"/>
    <w:rPr>
      <w:kern w:val="2"/>
      <w:sz w:val="21"/>
    </w:rPr>
  </w:style>
  <w:style w:type="character" w:customStyle="1" w:styleId="22">
    <w:name w:val="批注主题 Char"/>
    <w:basedOn w:val="21"/>
    <w:link w:val="15"/>
    <w:uiPriority w:val="0"/>
    <w:rPr>
      <w:b/>
      <w:bCs/>
    </w:rPr>
  </w:style>
  <w:style w:type="character" w:customStyle="1" w:styleId="23">
    <w:name w:val="批注框文本 Char"/>
    <w:basedOn w:val="17"/>
    <w:link w:val="10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392</Words>
  <Characters>2240</Characters>
  <Lines>18</Lines>
  <Paragraphs>5</Paragraphs>
  <TotalTime>14</TotalTime>
  <ScaleCrop>false</ScaleCrop>
  <LinksUpToDate>false</LinksUpToDate>
  <CharactersWithSpaces>2627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                           空</dc:creator>
  <cp:lastModifiedBy>Administrator</cp:lastModifiedBy>
  <dcterms:modified xsi:type="dcterms:W3CDTF">2019-09-25T01:05:07Z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